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3 (Continuous Improvement) </w:t>
      </w: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Buyer’s Rights</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Supplier’s Obligations</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Buyer's Approval.  The Continuous Improvement Plan must include, as a minimum, proposals:</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the emergence of relevant new and evolving technologies;</w:t>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for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shall be submitted by the Supplier to the Buyer for Approval within one hundred (100) Working Days of the first Order or six (6) Months following the Start Date, whichever is earlier.  </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2.5:</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in accordance with the procedure and timescales set out in Paragraph 2.3. </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426" w:right="0" w:hanging="426"/>
        <w:jc w:val="left"/>
        <w:rPr>
          <w:rFonts w:ascii="Arial" w:cs="Arial" w:eastAsia="Arial" w:hAnsi="Arial"/>
          <w:b w:val="1"/>
          <w:i w:val="0"/>
          <w:smallCaps w:val="1"/>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19">
      <w:pPr>
        <w:rPr/>
      </w:pPr>
      <w:bookmarkStart w:colFirst="0" w:colLast="0" w:name="_heading=h.3dy6vkm" w:id="6"/>
      <w:bookmarkEnd w:id="6"/>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2">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RM6098</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8">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3 (Continuous Improvement)</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autoRedefine w:val="1"/>
    <w:qFormat w:val="1"/>
    <w:rsid w:val="00D7661C"/>
    <w:pPr>
      <w:keepNext w:val="1"/>
      <w:ind w:left="360" w:hanging="360"/>
      <w:outlineLvl w:val="9"/>
    </w:pPr>
    <w:rPr>
      <w:rFonts w:ascii="Arial Bold" w:hAnsi="Arial Bold"/>
      <w:b w:val="0"/>
      <w:caps w:val="0"/>
      <w:sz w:val="24"/>
    </w:r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D7661C"/>
    <w:rPr>
      <w:rFonts w:ascii="Arial Bold" w:cs="Arial" w:eastAsia="STZhongsong" w:hAnsi="Arial Bold"/>
      <w:sz w:val="24"/>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fFBuC0cdOevtCPpUWXaYH0QZt1Q==">AMUW2mVIOQ6rzfqSsesQyhvMQIRxx+FA74W3td9wd0s2tB6tM8am4Z7OxQYGbb0dMkmEYnP+I6LdWpezmlX947auNWkjQnJ/0siehiogpdX0yoaw+W6u2P2Qm7AC9kHYrm0rbrsKS3J+TUImXH/sREuTbVMEg6BvB4M2KQessI6HdnozQ6kV+Y6mn9sZin6aJ8Jm5VlLdzUBTNyBrUxxG7W2DKxC740/dw==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